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ПРИЛОЖЕНИЕ Д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(обязательное)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 индивидуальных достижений абитуриента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порядок их учета при зачислении в аспирантуру СГК*</w:t>
      </w:r>
    </w:p>
    <w:p>
      <w:pPr>
        <w:pStyle w:val="Normal"/>
        <w:bidi w:val="0"/>
        <w:jc w:val="center"/>
        <w:rPr>
          <w:b/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</w:r>
    </w:p>
    <w:tbl>
      <w:tblPr>
        <w:tblStyle w:val="afe"/>
        <w:tblW w:w="99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91"/>
        <w:gridCol w:w="4970"/>
      </w:tblGrid>
      <w:tr>
        <w:trPr/>
        <w:tc>
          <w:tcPr>
            <w:tcW w:w="4991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индивидуального достижения</w:t>
            </w:r>
          </w:p>
        </w:tc>
        <w:tc>
          <w:tcPr>
            <w:tcW w:w="4970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Количество баллов за единицу</w:t>
            </w:r>
          </w:p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991" w:type="dxa"/>
            <w:tcBorders/>
          </w:tcPr>
          <w:p>
            <w:pPr>
              <w:pStyle w:val="Normal"/>
              <w:bidi w:val="0"/>
              <w:jc w:val="left"/>
              <w:rPr>
                <w:b/>
                <w:b/>
                <w:sz w:val="28"/>
                <w:szCs w:val="28"/>
                <w:vertAlign w:val="superscript"/>
              </w:rPr>
            </w:pPr>
            <w:r>
              <w:rPr/>
              <w:t xml:space="preserve">Гранты РГНФ и др. </w:t>
            </w:r>
          </w:p>
        </w:tc>
        <w:tc>
          <w:tcPr>
            <w:tcW w:w="4970" w:type="dxa"/>
            <w:tcBorders/>
          </w:tcPr>
          <w:p>
            <w:pPr>
              <w:pStyle w:val="Normal"/>
              <w:bidi w:val="0"/>
              <w:jc w:val="both"/>
              <w:rPr/>
            </w:pPr>
            <w:r>
              <w:rPr/>
              <w:t>5 баллов за всероссийский или международный грант; 3 балла за региональный грант (баллы делятся на количество авторов)</w:t>
            </w:r>
          </w:p>
        </w:tc>
      </w:tr>
      <w:tr>
        <w:trPr/>
        <w:tc>
          <w:tcPr>
            <w:tcW w:w="499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  <w:t>Звание лауреата конференции</w:t>
            </w:r>
          </w:p>
        </w:tc>
        <w:tc>
          <w:tcPr>
            <w:tcW w:w="4970" w:type="dxa"/>
            <w:tcBorders/>
          </w:tcPr>
          <w:p>
            <w:pPr>
              <w:pStyle w:val="Normal"/>
              <w:bidi w:val="0"/>
              <w:jc w:val="both"/>
              <w:rPr/>
            </w:pPr>
            <w:r>
              <w:rPr/>
              <w:t>4 балла за всероссийскую или международную конференцию; 2 балла за региональную</w:t>
            </w:r>
          </w:p>
        </w:tc>
      </w:tr>
      <w:tr>
        <w:trPr/>
        <w:tc>
          <w:tcPr>
            <w:tcW w:w="4991" w:type="dxa"/>
            <w:tcBorders/>
          </w:tcPr>
          <w:p>
            <w:pPr>
              <w:pStyle w:val="Normal"/>
              <w:bidi w:val="0"/>
              <w:jc w:val="both"/>
              <w:rPr/>
            </w:pPr>
            <w:r>
              <w:rPr/>
              <w:t xml:space="preserve">Публикации, индексируемые в информационно-аналитической системе </w:t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  <w:t xml:space="preserve">научного цитирования </w:t>
            </w:r>
            <w:r>
              <w:rPr>
                <w:lang w:val="en-US"/>
              </w:rPr>
              <w:t>Scopus</w:t>
            </w:r>
          </w:p>
        </w:tc>
        <w:tc>
          <w:tcPr>
            <w:tcW w:w="4970" w:type="dxa"/>
            <w:tcBorders/>
          </w:tcPr>
          <w:p>
            <w:pPr>
              <w:pStyle w:val="Normal"/>
              <w:bidi w:val="0"/>
              <w:jc w:val="both"/>
              <w:rPr/>
            </w:pPr>
            <w:r>
              <w:rPr/>
              <w:t>4 балла за каждую публикацию (баллы делятся на количество авторов)</w:t>
            </w:r>
          </w:p>
        </w:tc>
      </w:tr>
      <w:tr>
        <w:trPr/>
        <w:tc>
          <w:tcPr>
            <w:tcW w:w="499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Публикации, индексируемые в информационно-аналитической системе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>научного цитирования РИНЦ (или ВАК)</w:t>
            </w:r>
          </w:p>
        </w:tc>
        <w:tc>
          <w:tcPr>
            <w:tcW w:w="4970" w:type="dxa"/>
            <w:tcBorders/>
          </w:tcPr>
          <w:p>
            <w:pPr>
              <w:pStyle w:val="Normal"/>
              <w:bidi w:val="0"/>
              <w:jc w:val="both"/>
              <w:rPr/>
            </w:pPr>
            <w:r>
              <w:rPr/>
              <w:t>3 балла за каждую публикацию (баллы делятся на количество авторов)</w:t>
            </w:r>
          </w:p>
        </w:tc>
      </w:tr>
      <w:tr>
        <w:trPr/>
        <w:tc>
          <w:tcPr>
            <w:tcW w:w="499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Прочие публикации </w:t>
            </w:r>
          </w:p>
        </w:tc>
        <w:tc>
          <w:tcPr>
            <w:tcW w:w="4970" w:type="dxa"/>
            <w:tcBorders/>
          </w:tcPr>
          <w:p>
            <w:pPr>
              <w:pStyle w:val="Normal"/>
              <w:bidi w:val="0"/>
              <w:jc w:val="both"/>
              <w:rPr/>
            </w:pPr>
            <w:r>
              <w:rPr/>
              <w:t>1 балл за каждую публикацию (баллы делятся на количество авторов)</w:t>
            </w:r>
          </w:p>
        </w:tc>
      </w:tr>
      <w:tr>
        <w:trPr/>
        <w:tc>
          <w:tcPr>
            <w:tcW w:w="499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  <w:t>Кандидатские экзамены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970" w:type="dxa"/>
            <w:tcBorders/>
          </w:tcPr>
          <w:p>
            <w:pPr>
              <w:pStyle w:val="Normal"/>
              <w:bidi w:val="0"/>
              <w:jc w:val="both"/>
              <w:rPr/>
            </w:pPr>
            <w:r>
              <w:rPr/>
              <w:t>1 балл за каждый сданный экзамен</w:t>
            </w:r>
          </w:p>
        </w:tc>
      </w:tr>
    </w:tbl>
    <w:p>
      <w:pPr>
        <w:pStyle w:val="Normal"/>
        <w:bidi w:val="0"/>
        <w:jc w:val="left"/>
        <w:rPr>
          <w:b/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</w:r>
    </w:p>
    <w:p>
      <w:pPr>
        <w:pStyle w:val="Normal"/>
        <w:bidi w:val="0"/>
        <w:jc w:val="left"/>
        <w:rPr>
          <w:b/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</w:r>
    </w:p>
    <w:p>
      <w:pPr>
        <w:pStyle w:val="Normal"/>
        <w:bidi w:val="0"/>
        <w:jc w:val="left"/>
        <w:rPr>
          <w:b/>
          <w:b/>
          <w:vertAlign w:val="superscript"/>
        </w:rPr>
      </w:pPr>
      <w:r>
        <w:rPr>
          <w:sz w:val="28"/>
          <w:szCs w:val="28"/>
        </w:rPr>
        <w:t xml:space="preserve">* </w:t>
      </w:r>
      <w:r>
        <w:rPr/>
        <w:t>При равном количестве набранных балов по всем вступительным испытаниям зачисляются лица, набравшие более высокий бал за индивидуальные достижения</w:t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>
          <w:b/>
          <w:b/>
          <w:bCs/>
          <w:color w:val="auto"/>
          <w:sz w:val="28"/>
          <w:szCs w:val="28"/>
          <w:lang w:val="uk-UA" w:eastAsia="uk-UA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135</Words>
  <Characters>920</Characters>
  <CharactersWithSpaces>1038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2022-11-02T11:44:13Z</dcterms:created>
  <dc:creator/>
  <dc:description/>
  <dc:language>ru-RU</dc:language>
  <cp:lastModifiedBy/>
  <dcterms:modified xsi:type="dcterms:W3CDTF">2022-11-02T11:45:31Z</dcterms:modified>
  <cp:revision>2</cp:revision>
  <dc:subject/>
  <dc:title/>
</cp:coreProperties>
</file>